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76CD1BD0"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bookmarkStart w:id="1" w:name="_GoBack"/>
      <w:bookmarkEnd w:id="1"/>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357B9A">
        <w:rPr>
          <w:rFonts w:ascii="Arial" w:hAnsi="Arial" w:cs="Arial"/>
          <w:b/>
          <w:bCs/>
          <w:sz w:val="24"/>
          <w:szCs w:val="24"/>
        </w:rPr>
        <w:t>8</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00E808A2" w:rsidRPr="00E808A2">
        <w:rPr>
          <w:rFonts w:ascii="Arial" w:eastAsia="Times New Roman" w:hAnsi="Arial" w:cs="Arial"/>
          <w:b/>
          <w:bCs/>
          <w:sz w:val="24"/>
          <w:szCs w:val="24"/>
          <w:lang w:eastAsia="en-US"/>
        </w:rPr>
        <w:t>R1-2</w:t>
      </w:r>
      <w:r w:rsidR="00186DCA">
        <w:rPr>
          <w:rFonts w:ascii="Arial" w:eastAsia="Times New Roman" w:hAnsi="Arial" w:cs="Arial"/>
          <w:b/>
          <w:bCs/>
          <w:sz w:val="24"/>
          <w:szCs w:val="24"/>
          <w:lang w:eastAsia="en-US"/>
        </w:rPr>
        <w:t>20</w:t>
      </w:r>
      <w:r w:rsidR="003F19E6">
        <w:rPr>
          <w:rFonts w:ascii="Arial" w:eastAsia="Times New Roman" w:hAnsi="Arial" w:cs="Arial"/>
          <w:b/>
          <w:bCs/>
          <w:sz w:val="24"/>
          <w:szCs w:val="24"/>
          <w:lang w:eastAsia="en-US"/>
        </w:rPr>
        <w:t>1117</w:t>
      </w:r>
      <w:r w:rsidRPr="00774255">
        <w:rPr>
          <w:rFonts w:ascii="Arial" w:eastAsia="Times New Roman" w:hAnsi="Arial" w:cs="Arial"/>
          <w:b/>
          <w:bCs/>
          <w:sz w:val="24"/>
          <w:szCs w:val="24"/>
          <w:lang w:eastAsia="en-US"/>
        </w:rPr>
        <w:t xml:space="preserve">                                                                     </w:t>
      </w:r>
    </w:p>
    <w:p w14:paraId="711F7567" w14:textId="1BE81339"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357B9A" w:rsidRPr="00357B9A">
        <w:rPr>
          <w:rFonts w:ascii="Arial" w:eastAsia="Times New Roman" w:hAnsi="Arial" w:cs="Arial"/>
          <w:b/>
          <w:bCs/>
          <w:sz w:val="24"/>
          <w:szCs w:val="24"/>
          <w:lang w:eastAsia="en-US"/>
        </w:rPr>
        <w:t>February 21</w:t>
      </w:r>
      <w:r w:rsidR="00357B9A" w:rsidRPr="00357B9A">
        <w:rPr>
          <w:rFonts w:ascii="Arial" w:eastAsia="Times New Roman" w:hAnsi="Arial" w:cs="Arial"/>
          <w:b/>
          <w:bCs/>
          <w:sz w:val="24"/>
          <w:szCs w:val="24"/>
          <w:vertAlign w:val="superscript"/>
          <w:lang w:eastAsia="en-US"/>
        </w:rPr>
        <w:t>st</w:t>
      </w:r>
      <w:r w:rsidR="00357B9A" w:rsidRPr="00357B9A">
        <w:rPr>
          <w:rFonts w:ascii="Arial" w:eastAsia="Times New Roman" w:hAnsi="Arial" w:cs="Arial"/>
          <w:b/>
          <w:bCs/>
          <w:sz w:val="24"/>
          <w:szCs w:val="24"/>
          <w:lang w:eastAsia="en-US"/>
        </w:rPr>
        <w:t xml:space="preserve"> – March 3</w:t>
      </w:r>
      <w:r w:rsidR="00357B9A" w:rsidRPr="00357B9A">
        <w:rPr>
          <w:rFonts w:ascii="Arial" w:eastAsia="Times New Roman" w:hAnsi="Arial" w:cs="Arial"/>
          <w:b/>
          <w:bCs/>
          <w:sz w:val="24"/>
          <w:szCs w:val="24"/>
          <w:vertAlign w:val="superscript"/>
          <w:lang w:eastAsia="en-US"/>
        </w:rPr>
        <w:t>rd</w:t>
      </w:r>
      <w:r w:rsidR="00AB72C2" w:rsidRPr="00357B9A">
        <w:rPr>
          <w:rFonts w:ascii="Arial" w:eastAsia="Times New Roman" w:hAnsi="Arial" w:cs="Arial"/>
          <w:b/>
          <w:bCs/>
          <w:sz w:val="24"/>
          <w:szCs w:val="24"/>
          <w:vertAlign w:val="superscript"/>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466D9">
        <w:rPr>
          <w:rFonts w:ascii="Arial" w:eastAsia="Times New Roman" w:hAnsi="Arial" w:cs="Arial"/>
          <w:b/>
          <w:bCs/>
          <w:sz w:val="24"/>
          <w:szCs w:val="24"/>
          <w:lang w:eastAsia="en-US"/>
        </w:rPr>
        <w:t>2</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2" w:name="_Hlk47345766"/>
      <w:r w:rsidRPr="00774255">
        <w:rPr>
          <w:rFonts w:ascii="Arial" w:eastAsia="Times New Roman" w:hAnsi="Arial" w:cs="Arial"/>
          <w:b/>
          <w:sz w:val="21"/>
          <w:szCs w:val="24"/>
          <w:lang w:eastAsia="en-US"/>
        </w:rPr>
        <w:t>Other issues for Rel-17 MBS</w:t>
      </w:r>
    </w:p>
    <w:bookmarkEnd w:id="2"/>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bookmarkEnd w:id="0"/>
      <w:r>
        <w:t>Introduction</w:t>
      </w:r>
      <w:bookmarkEnd w:id="3"/>
    </w:p>
    <w:p w14:paraId="3E4F7A37" w14:textId="352A77AD"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w:t>
      </w:r>
      <w:r w:rsidR="00DD6823">
        <w:rPr>
          <w:rFonts w:hint="eastAsia"/>
        </w:rPr>
        <w:t>ed</w:t>
      </w:r>
      <w:r w:rsidR="00D25106">
        <w:t xml:space="preserve">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59D73490" w:rsidR="00E77BCD" w:rsidRDefault="007D060D" w:rsidP="00CD66BD">
      <w:r>
        <w:t xml:space="preserve">According to </w:t>
      </w:r>
      <w:r w:rsidR="00E77BCD">
        <w:t>NR Rel-15/Rel-16 specification, there are some scheduling restriction</w:t>
      </w:r>
      <w:r w:rsidR="0056532F">
        <w:t>s</w:t>
      </w:r>
      <w:r w:rsidR="00E77BCD">
        <w:t xml:space="preserve"> for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4" w:name="_Hlk71298508"/>
            <w:r w:rsidRPr="00C814EF">
              <w:rPr>
                <w:sz w:val="20"/>
                <w:highlight w:val="yellow"/>
                <w:lang w:eastAsia="en-US"/>
              </w:rPr>
              <w:t>the end of the expected transmission of HARQ-ACK for that HARQ process</w:t>
            </w:r>
            <w:bookmarkEnd w:id="4"/>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8.75pt" o:ole="">
                  <v:imagedata r:id="rId8" o:title=""/>
                </v:shape>
                <o:OLEObject Type="Embed" ProgID="Equation.DSMT4" ShapeID="_x0000_i1025" DrawAspect="Content" ObjectID="_1706360599"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61827110" w14:textId="7BCD58DE" w:rsidR="005A676A" w:rsidRDefault="005A676A" w:rsidP="00CD66BD">
      <w:r>
        <w:t>F</w:t>
      </w:r>
      <w:r>
        <w:rPr>
          <w:rFonts w:hint="eastAsia"/>
        </w:rPr>
        <w:t>or</w:t>
      </w:r>
      <w:r>
        <w:t xml:space="preserve"> broadcast, there is no HARQ-ACK feedback for the GC-PDSCH, same rule as that of PDSCH scrambled with SI-RNTI can be </w:t>
      </w:r>
      <w:r w:rsidR="0081675E">
        <w:t>a starting point</w:t>
      </w:r>
      <w:r>
        <w:t xml:space="preserve">. That is, </w:t>
      </w:r>
      <w:bookmarkStart w:id="5" w:name="_Hlk83806347"/>
      <w:r>
        <w:t xml:space="preserve">for the PDSCH corresponding G-RNTI for broadcast, the </w:t>
      </w:r>
      <w:r w:rsidRPr="005A676A">
        <w:t xml:space="preserve">UE is </w:t>
      </w:r>
      <w:r w:rsidRPr="005A676A">
        <w:lastRenderedPageBreak/>
        <w:t xml:space="preserve">not expected to decode a re-transmission of an earlier PDSCH with a starting symbol less than N symbols after the last symbol of that PDSCH, where the value of N depends on the PDSCH subcarrier spacing configuration </w:t>
      </w:r>
      <w:r w:rsidRPr="005A676A">
        <w:sym w:font="Symbol" w:char="F06D"/>
      </w:r>
      <w:r w:rsidRPr="005A676A">
        <w:t xml:space="preserve">, with N=13 for </w:t>
      </w:r>
      <w:r w:rsidRPr="005A676A">
        <w:sym w:font="Symbol" w:char="F06D"/>
      </w:r>
      <w:r w:rsidRPr="005A676A">
        <w:t xml:space="preserve">=0, N=13 for </w:t>
      </w:r>
      <w:r w:rsidRPr="005A676A">
        <w:sym w:font="Symbol" w:char="F06D"/>
      </w:r>
      <w:r w:rsidRPr="005A676A">
        <w:t xml:space="preserve">=1, N=20 for </w:t>
      </w:r>
      <w:r w:rsidRPr="005A676A">
        <w:sym w:font="Symbol" w:char="F06D"/>
      </w:r>
      <w:r w:rsidRPr="005A676A">
        <w:t xml:space="preserve">=2, and N=24 for </w:t>
      </w:r>
      <w:r w:rsidRPr="005A676A">
        <w:sym w:font="Symbol" w:char="F06D"/>
      </w:r>
      <w:r w:rsidRPr="005A676A">
        <w:t>=3</w:t>
      </w:r>
      <w:r>
        <w:t>.</w:t>
      </w:r>
      <w:bookmarkEnd w:id="5"/>
    </w:p>
    <w:p w14:paraId="0FD7306A" w14:textId="4F30655F" w:rsidR="00462F94" w:rsidRDefault="00462F94" w:rsidP="00462F94">
      <w:pPr>
        <w:rPr>
          <w:b/>
          <w:color w:val="000000" w:themeColor="text1"/>
          <w:szCs w:val="22"/>
        </w:rPr>
      </w:pPr>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t>
      </w:r>
      <w:r w:rsidR="00530E9D">
        <w:rPr>
          <w:rFonts w:hint="eastAsia"/>
          <w:b/>
          <w:color w:val="000000" w:themeColor="text1"/>
          <w:szCs w:val="22"/>
        </w:rPr>
        <w:t>with</w:t>
      </w:r>
      <w:r w:rsidR="00530E9D">
        <w:rPr>
          <w:b/>
          <w:color w:val="000000" w:themeColor="text1"/>
          <w:szCs w:val="22"/>
        </w:rPr>
        <w:t xml:space="preserve"> </w:t>
      </w:r>
      <w:r>
        <w:rPr>
          <w:b/>
          <w:color w:val="000000" w:themeColor="text1"/>
          <w:szCs w:val="22"/>
        </w:rPr>
        <w:t>SI-RNTI in the NR Rel-15/Rel-16 can be reused.</w:t>
      </w:r>
    </w:p>
    <w:p w14:paraId="365E5E03" w14:textId="7DD976DC" w:rsidR="00462F94" w:rsidRDefault="00462F94" w:rsidP="00462F94">
      <w:pPr>
        <w:pStyle w:val="af6"/>
        <w:numPr>
          <w:ilvl w:val="0"/>
          <w:numId w:val="48"/>
        </w:numPr>
        <w:ind w:firstLineChars="0"/>
        <w:jc w:val="both"/>
        <w:rPr>
          <w:b/>
        </w:rPr>
      </w:pPr>
      <w:r w:rsidRPr="00462F94">
        <w:rPr>
          <w:b/>
        </w:rPr>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1AB1C75E" w14:textId="77777777" w:rsidR="00462F94" w:rsidRPr="00462F94" w:rsidRDefault="00462F94" w:rsidP="00462F94">
      <w:pPr>
        <w:pStyle w:val="af6"/>
        <w:ind w:left="420" w:firstLineChars="0" w:firstLine="0"/>
        <w:rPr>
          <w:b/>
        </w:rPr>
      </w:pPr>
    </w:p>
    <w:p w14:paraId="2C9FA990" w14:textId="61D5B3FE" w:rsidR="00D202B6" w:rsidRDefault="003C0002" w:rsidP="00CD66BD">
      <w:r>
        <w:rPr>
          <w:rFonts w:hint="eastAsia"/>
        </w:rPr>
        <w:t>F</w:t>
      </w:r>
      <w:r>
        <w:t>or multicast, different HARQ-ACK modes i.e. ACK/NACK, NACK only, were agreed to be supported. And it was also agreed to enable/disable HARQ</w:t>
      </w:r>
      <w:r w:rsidR="005A676A">
        <w:t>-ACK</w:t>
      </w:r>
      <w:r>
        <w:t xml:space="preserve"> feedback for multicast. Then if NACK only is supported, or HARQ</w:t>
      </w:r>
      <w:r w:rsidR="005A676A">
        <w:t>-ACK</w:t>
      </w:r>
      <w:r>
        <w:t xml:space="preserve"> 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0B64003A" w:rsidR="003C0002" w:rsidRDefault="00624A94" w:rsidP="00CD66BD">
      <w:r>
        <w:t xml:space="preserve">For NACK only feedback mode, since UE is </w:t>
      </w:r>
      <w:r w:rsidR="00183DB1">
        <w:t>configured/</w:t>
      </w:r>
      <w:r>
        <w:t>indicated with one PUCCH resource for NACK</w:t>
      </w:r>
      <w:r w:rsidR="005410F1">
        <w:t>-only</w:t>
      </w:r>
      <w:r>
        <w:t xml:space="preserve"> transmission, then </w:t>
      </w:r>
      <w:bookmarkStart w:id="6"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6"/>
      <w:r w:rsidR="007A5D6E">
        <w:t>-only</w:t>
      </w:r>
      <w:r w:rsidR="003C77C1">
        <w:t xml:space="preserve"> even if NACK</w:t>
      </w:r>
      <w:r w:rsidR="005410F1">
        <w:t xml:space="preserve">-only </w:t>
      </w:r>
      <w:r w:rsidR="003C77C1">
        <w:t>PUCCH is not transmitted when PDSCH is decoded correctly</w:t>
      </w:r>
      <w:r>
        <w:t xml:space="preserve">. </w:t>
      </w:r>
    </w:p>
    <w:p w14:paraId="59A0B694" w14:textId="2375C29C" w:rsidR="00624A94" w:rsidRDefault="00624A94" w:rsidP="00CD66BD">
      <w:r>
        <w:t xml:space="preserve">For the PDSCH with no HARQ feedback, </w:t>
      </w:r>
      <w:r w:rsidR="007A5D6E">
        <w:t xml:space="preserve">i.e., </w:t>
      </w:r>
      <w:r>
        <w:t>HARQ feedback is disabled by RRC</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w:t>
      </w:r>
      <w:r w:rsidR="00D4223D">
        <w:t>-ACK</w:t>
      </w:r>
      <w:r w:rsidR="003C77C1">
        <w:t xml:space="preserve"> feedback is disabled</w:t>
      </w:r>
      <w:r w:rsidR="00B2357B">
        <w:t>.</w:t>
      </w:r>
    </w:p>
    <w:p w14:paraId="116DF641" w14:textId="1AC3823B" w:rsidR="00462F94" w:rsidRDefault="00462F94" w:rsidP="00462F94">
      <w:pPr>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w:t>
      </w:r>
      <w:r w:rsidR="00BF74BB">
        <w:rPr>
          <w:b/>
          <w:color w:val="000000" w:themeColor="text1"/>
          <w:szCs w:val="22"/>
        </w:rPr>
        <w:t>, if</w:t>
      </w:r>
      <w:r>
        <w:rPr>
          <w:b/>
          <w:color w:val="000000" w:themeColor="text1"/>
          <w:szCs w:val="22"/>
        </w:rPr>
        <w:t xml:space="preserve"> HARQ-ACK feedback</w:t>
      </w:r>
      <w:r w:rsidR="00BF74BB">
        <w:rPr>
          <w:b/>
          <w:color w:val="000000" w:themeColor="text1"/>
          <w:szCs w:val="22"/>
        </w:rPr>
        <w:t xml:space="preserve"> for the PDSCH is disabled</w:t>
      </w:r>
      <w:r>
        <w:rPr>
          <w:b/>
          <w:color w:val="000000" w:themeColor="text1"/>
          <w:szCs w:val="22"/>
        </w:rPr>
        <w:t xml:space="preserve">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77B7A7D8" w14:textId="6F226FE3" w:rsidR="00462F94" w:rsidRPr="00CB2F73" w:rsidRDefault="00462F94" w:rsidP="00462F94">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45FB55D3" w14:textId="4DD59D76" w:rsidR="0041376C" w:rsidRPr="00C814EF" w:rsidRDefault="0041376C" w:rsidP="00CB2F73">
      <w:pPr>
        <w:spacing w:beforeLines="50" w:before="120"/>
        <w:rPr>
          <w:b/>
          <w:color w:val="000000" w:themeColor="text1"/>
          <w:szCs w:val="22"/>
        </w:rPr>
      </w:pPr>
      <w:r w:rsidRPr="00C814EF">
        <w:rPr>
          <w:b/>
          <w:color w:val="000000" w:themeColor="text1"/>
          <w:szCs w:val="22"/>
        </w:rPr>
        <w:t xml:space="preserve">Proposal </w:t>
      </w:r>
      <w:r w:rsidR="00462F94">
        <w:rPr>
          <w:b/>
          <w:color w:val="000000" w:themeColor="text1"/>
          <w:szCs w:val="22"/>
        </w:rPr>
        <w:t>3</w:t>
      </w:r>
      <w:r w:rsidRPr="00C814EF">
        <w:rPr>
          <w:b/>
          <w:color w:val="000000" w:themeColor="text1"/>
          <w:szCs w:val="22"/>
        </w:rPr>
        <w:t>: For multicast PDSCH with NACK</w:t>
      </w:r>
      <w:r w:rsidR="00D4223D">
        <w:rPr>
          <w:b/>
          <w:color w:val="000000" w:themeColor="text1"/>
          <w:szCs w:val="22"/>
        </w:rPr>
        <w:t>-</w:t>
      </w:r>
      <w:r w:rsidRPr="00C814EF">
        <w:rPr>
          <w:b/>
          <w:color w:val="000000" w:themeColor="text1"/>
          <w:szCs w:val="22"/>
        </w:rPr>
        <w:t xml:space="preserve">only feedback or </w:t>
      </w:r>
      <w:r w:rsidR="00B53B1D" w:rsidRPr="00C814EF">
        <w:rPr>
          <w:b/>
          <w:color w:val="000000" w:themeColor="text1"/>
          <w:szCs w:val="22"/>
        </w:rPr>
        <w:t xml:space="preserve">multicast </w:t>
      </w:r>
      <w:r w:rsidRPr="00C814EF">
        <w:rPr>
          <w:b/>
          <w:color w:val="000000" w:themeColor="text1"/>
          <w:szCs w:val="22"/>
        </w:rPr>
        <w:t>PDSCH with</w:t>
      </w:r>
      <w:r w:rsidR="00462F94">
        <w:rPr>
          <w:b/>
          <w:color w:val="000000" w:themeColor="text1"/>
          <w:szCs w:val="22"/>
        </w:rPr>
        <w:t xml:space="preserve"> </w:t>
      </w:r>
      <w:r w:rsidRPr="00C814EF">
        <w:rPr>
          <w:b/>
          <w:color w:val="000000" w:themeColor="text1"/>
          <w:szCs w:val="22"/>
        </w:rPr>
        <w:t>HARQ feedback</w:t>
      </w:r>
      <w:r w:rsidR="00462F94">
        <w:rPr>
          <w:b/>
          <w:color w:val="000000" w:themeColor="text1"/>
          <w:szCs w:val="22"/>
        </w:rPr>
        <w:t xml:space="preserve"> enabl</w:t>
      </w:r>
      <w:r w:rsidR="00B53B1D">
        <w:rPr>
          <w:b/>
          <w:color w:val="000000" w:themeColor="text1"/>
          <w:szCs w:val="22"/>
        </w:rPr>
        <w:t>ed/</w:t>
      </w:r>
      <w:r w:rsidR="00462F94">
        <w:rPr>
          <w:b/>
          <w:color w:val="000000" w:themeColor="text1"/>
          <w:szCs w:val="22"/>
        </w:rPr>
        <w:t>disabl</w:t>
      </w:r>
      <w:r w:rsidR="00B53B1D">
        <w:rPr>
          <w:b/>
          <w:color w:val="000000" w:themeColor="text1"/>
          <w:szCs w:val="22"/>
        </w:rPr>
        <w:t xml:space="preserve">ed </w:t>
      </w:r>
      <w:r w:rsidR="00462F94">
        <w:rPr>
          <w:b/>
          <w:color w:val="000000" w:themeColor="text1"/>
          <w:szCs w:val="22"/>
        </w:rPr>
        <w:t>by DCI</w:t>
      </w:r>
      <w:r w:rsidRPr="00C814EF">
        <w:rPr>
          <w:b/>
          <w:color w:val="000000" w:themeColor="text1"/>
          <w:szCs w:val="22"/>
        </w:rPr>
        <w:t>,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A7D5120" w14:textId="4058D5C7" w:rsidR="00F500DF" w:rsidRDefault="00F500DF" w:rsidP="00F500DF">
      <w:pPr>
        <w:rPr>
          <w:b/>
          <w:color w:val="000000" w:themeColor="text1"/>
          <w:szCs w:val="22"/>
        </w:rPr>
      </w:pPr>
      <w:bookmarkStart w:id="7" w:name="_Toc502437832"/>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49E1487" w14:textId="17710CC9" w:rsidR="00F500DF" w:rsidRDefault="00F500DF" w:rsidP="00F500DF">
      <w:pPr>
        <w:pStyle w:val="af6"/>
        <w:numPr>
          <w:ilvl w:val="0"/>
          <w:numId w:val="48"/>
        </w:numPr>
        <w:ind w:firstLineChars="0"/>
        <w:jc w:val="both"/>
        <w:rPr>
          <w:b/>
        </w:rPr>
      </w:pPr>
      <w:r w:rsidRPr="00462F94">
        <w:rPr>
          <w:b/>
        </w:rPr>
        <w:lastRenderedPageBreak/>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0870FEBB" w14:textId="4227CBDB" w:rsidR="00F500DF" w:rsidRDefault="00F500DF" w:rsidP="00F500DF">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 if HARQ-ACK feedback for the PDSCH is disabled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36747A3" w14:textId="62A119B9" w:rsidR="00F500DF" w:rsidRPr="00F500DF" w:rsidRDefault="00F500DF" w:rsidP="00F500DF">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67044B91" w14:textId="7CF86107" w:rsidR="00F500DF" w:rsidRPr="00CB2F73" w:rsidRDefault="00F500DF" w:rsidP="00CB2F73">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3</w:t>
      </w:r>
      <w:r w:rsidRPr="00C814EF">
        <w:rPr>
          <w:b/>
          <w:color w:val="000000" w:themeColor="text1"/>
          <w:szCs w:val="22"/>
        </w:rPr>
        <w:t>: For multicast PDSCH with NACK</w:t>
      </w:r>
      <w:r>
        <w:rPr>
          <w:b/>
          <w:color w:val="000000" w:themeColor="text1"/>
          <w:szCs w:val="22"/>
        </w:rPr>
        <w:t>-</w:t>
      </w:r>
      <w:r w:rsidRPr="00C814EF">
        <w:rPr>
          <w:b/>
          <w:color w:val="000000" w:themeColor="text1"/>
          <w:szCs w:val="22"/>
        </w:rPr>
        <w:t>only feedback or multicast PDSCH with</w:t>
      </w:r>
      <w:r>
        <w:rPr>
          <w:b/>
          <w:color w:val="000000" w:themeColor="text1"/>
          <w:szCs w:val="22"/>
        </w:rPr>
        <w:t xml:space="preserve"> </w:t>
      </w:r>
      <w:r w:rsidRPr="00C814EF">
        <w:rPr>
          <w:b/>
          <w:color w:val="000000" w:themeColor="text1"/>
          <w:szCs w:val="22"/>
        </w:rPr>
        <w:t>HARQ feedback</w:t>
      </w:r>
      <w:r>
        <w:rPr>
          <w:b/>
          <w:color w:val="000000" w:themeColor="text1"/>
          <w:szCs w:val="22"/>
        </w:rPr>
        <w:t xml:space="preserve"> enabled/disabled by DCI</w:t>
      </w:r>
      <w:r w:rsidRPr="00C814EF">
        <w:rPr>
          <w:b/>
          <w:color w:val="000000" w:themeColor="text1"/>
          <w:szCs w:val="22"/>
        </w:rPr>
        <w:t>, the PDSCH scheduling restriction for a given HARQ process need</w:t>
      </w:r>
      <w:r>
        <w:rPr>
          <w:b/>
          <w:color w:val="000000" w:themeColor="text1"/>
          <w:szCs w:val="22"/>
        </w:rPr>
        <w:t>s</w:t>
      </w:r>
      <w:r w:rsidRPr="00C814EF">
        <w:rPr>
          <w:b/>
          <w:color w:val="000000" w:themeColor="text1"/>
          <w:szCs w:val="22"/>
        </w:rPr>
        <w:t xml:space="preserve"> to </w:t>
      </w:r>
      <w:r>
        <w:rPr>
          <w:b/>
          <w:color w:val="000000" w:themeColor="text1"/>
          <w:szCs w:val="22"/>
        </w:rPr>
        <w:t xml:space="preserve">be </w:t>
      </w:r>
      <w:r w:rsidRPr="00C814EF">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r>
        <w:t>Reference</w:t>
      </w:r>
    </w:p>
    <w:bookmarkEnd w:id="7"/>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8" w:name="_Hlk54278675"/>
    </w:p>
    <w:p w14:paraId="4954D673" w14:textId="77777777" w:rsidR="0073275A" w:rsidRDefault="0073275A" w:rsidP="0073275A">
      <w:pPr>
        <w:rPr>
          <w:szCs w:val="22"/>
        </w:rPr>
      </w:pPr>
    </w:p>
    <w:bookmarkEnd w:id="8"/>
    <w:p w14:paraId="08C7AB5B" w14:textId="77777777" w:rsidR="0073275A" w:rsidRDefault="0073275A" w:rsidP="00C92AEA">
      <w:pPr>
        <w:spacing w:afterLines="50" w:line="240" w:lineRule="auto"/>
        <w:jc w:val="left"/>
      </w:pPr>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87EE" w14:textId="77777777" w:rsidR="009D6AA2" w:rsidRDefault="009D6AA2">
      <w:pPr>
        <w:spacing w:after="0" w:line="240" w:lineRule="auto"/>
      </w:pPr>
      <w:r>
        <w:separator/>
      </w:r>
    </w:p>
  </w:endnote>
  <w:endnote w:type="continuationSeparator" w:id="0">
    <w:p w14:paraId="164D402A" w14:textId="77777777" w:rsidR="009D6AA2" w:rsidRDefault="009D6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F8A3C" w14:textId="77777777" w:rsidR="009D6AA2" w:rsidRDefault="009D6AA2">
      <w:pPr>
        <w:spacing w:after="0" w:line="240" w:lineRule="auto"/>
      </w:pPr>
      <w:r>
        <w:separator/>
      </w:r>
    </w:p>
  </w:footnote>
  <w:footnote w:type="continuationSeparator" w:id="0">
    <w:p w14:paraId="20DD8E79" w14:textId="77777777" w:rsidR="009D6AA2" w:rsidRDefault="009D6A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05522E"/>
    <w:multiLevelType w:val="hybridMultilevel"/>
    <w:tmpl w:val="E2D0FC58"/>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43D67"/>
    <w:multiLevelType w:val="hybridMultilevel"/>
    <w:tmpl w:val="C45C7510"/>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6"/>
  </w:num>
  <w:num w:numId="3">
    <w:abstractNumId w:val="20"/>
  </w:num>
  <w:num w:numId="4">
    <w:abstractNumId w:val="6"/>
  </w:num>
  <w:num w:numId="5">
    <w:abstractNumId w:val="12"/>
  </w:num>
  <w:num w:numId="6">
    <w:abstractNumId w:val="31"/>
  </w:num>
  <w:num w:numId="7">
    <w:abstractNumId w:val="26"/>
  </w:num>
  <w:num w:numId="8">
    <w:abstractNumId w:val="11"/>
  </w:num>
  <w:num w:numId="9">
    <w:abstractNumId w:val="24"/>
  </w:num>
  <w:num w:numId="10">
    <w:abstractNumId w:val="4"/>
  </w:num>
  <w:num w:numId="11">
    <w:abstractNumId w:val="1"/>
  </w:num>
  <w:num w:numId="12">
    <w:abstractNumId w:val="28"/>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2"/>
  </w:num>
  <w:num w:numId="18">
    <w:abstractNumId w:val="17"/>
  </w:num>
  <w:num w:numId="19">
    <w:abstractNumId w:val="34"/>
  </w:num>
  <w:num w:numId="20">
    <w:abstractNumId w:val="30"/>
  </w:num>
  <w:num w:numId="21">
    <w:abstractNumId w:val="27"/>
  </w:num>
  <w:num w:numId="22">
    <w:abstractNumId w:val="14"/>
  </w:num>
  <w:num w:numId="23">
    <w:abstractNumId w:val="23"/>
  </w:num>
  <w:num w:numId="24">
    <w:abstractNumId w:val="1"/>
  </w:num>
  <w:num w:numId="25">
    <w:abstractNumId w:val="10"/>
  </w:num>
  <w:num w:numId="26">
    <w:abstractNumId w:val="32"/>
  </w:num>
  <w:num w:numId="27">
    <w:abstractNumId w:val="35"/>
  </w:num>
  <w:num w:numId="28">
    <w:abstractNumId w:val="21"/>
  </w:num>
  <w:num w:numId="29">
    <w:abstractNumId w:val="1"/>
  </w:num>
  <w:num w:numId="30">
    <w:abstractNumId w:val="1"/>
  </w:num>
  <w:num w:numId="31">
    <w:abstractNumId w:val="8"/>
  </w:num>
  <w:num w:numId="32">
    <w:abstractNumId w:val="1"/>
  </w:num>
  <w:num w:numId="33">
    <w:abstractNumId w:val="7"/>
  </w:num>
  <w:num w:numId="34">
    <w:abstractNumId w:val="25"/>
  </w:num>
  <w:num w:numId="35">
    <w:abstractNumId w:val="33"/>
  </w:num>
  <w:num w:numId="36">
    <w:abstractNumId w:val="13"/>
  </w:num>
  <w:num w:numId="37">
    <w:abstractNumId w:val="1"/>
  </w:num>
  <w:num w:numId="38">
    <w:abstractNumId w:val="5"/>
  </w:num>
  <w:num w:numId="39">
    <w:abstractNumId w:val="29"/>
  </w:num>
  <w:num w:numId="40">
    <w:abstractNumId w:val="1"/>
  </w:num>
  <w:num w:numId="41">
    <w:abstractNumId w:val="1"/>
  </w:num>
  <w:num w:numId="42">
    <w:abstractNumId w:val="1"/>
  </w:num>
  <w:num w:numId="43">
    <w:abstractNumId w:val="19"/>
  </w:num>
  <w:num w:numId="44">
    <w:abstractNumId w:val="15"/>
    <w:lvlOverride w:ilvl="0">
      <w:startOverride w:val="1"/>
    </w:lvlOverride>
  </w:num>
  <w:num w:numId="45">
    <w:abstractNumId w:val="9"/>
  </w:num>
  <w:num w:numId="46">
    <w:abstractNumId w:val="36"/>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5FA0"/>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46"/>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DCA"/>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21A"/>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6E1"/>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B9A"/>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1F4B"/>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98E"/>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9E6"/>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6D9"/>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2F94"/>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A9C"/>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E9D"/>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76A"/>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856"/>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75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1FDB"/>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833"/>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CEF"/>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AA2"/>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6F7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27D06"/>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6CC"/>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B1D"/>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5BE"/>
    <w:rsid w:val="00BF4604"/>
    <w:rsid w:val="00BF4F03"/>
    <w:rsid w:val="00BF4F32"/>
    <w:rsid w:val="00BF522B"/>
    <w:rsid w:val="00BF5458"/>
    <w:rsid w:val="00BF5472"/>
    <w:rsid w:val="00BF5B3F"/>
    <w:rsid w:val="00BF60DE"/>
    <w:rsid w:val="00BF6381"/>
    <w:rsid w:val="00BF6BDA"/>
    <w:rsid w:val="00BF71D2"/>
    <w:rsid w:val="00BF746B"/>
    <w:rsid w:val="00BF74B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7F3"/>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2F7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223D"/>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0B7"/>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16B"/>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6F6B"/>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1F"/>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8A2"/>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BAD"/>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18"/>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0DF"/>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50621-BB09-49A6-BA56-F081F606A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Na Li</cp:lastModifiedBy>
  <cp:revision>2</cp:revision>
  <cp:lastPrinted>2018-04-04T09:40:00Z</cp:lastPrinted>
  <dcterms:created xsi:type="dcterms:W3CDTF">2022-02-14T08:17:00Z</dcterms:created>
  <dcterms:modified xsi:type="dcterms:W3CDTF">2022-02-14T08:17:00Z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